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【工作任务学习】</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 xml:space="preserve">原始凭证、记账凭证和会计账簿等会计记录中所含有的信息，是注册会计师执行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财务报表审计业务所需获取的审计证据的重要部分。</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注册会计师获取的审计证据越多越好。</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审计工作底稿都是由注册会计师编制的。</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审计工作底稿是审计证据的载体，它形成于审计过程，任何一个环节都会形成审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计工作底稿。</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任务一 认知审计证据</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一、判断题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审计证据质量越高，需要的审计证据数量可能越少。</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由于审计证据的数量直接关系到审计结论是否正确，因此审计证据的数量越多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越好。</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r>
        <w:rPr>
          <w:rFonts w:ascii="方正兰亭中黑_GBK" w:hAnsi="方正兰亭中黑_GBK" w:eastAsia="方正兰亭中黑_GBK" w:cs="方正兰亭中黑_GBK"/>
          <w:color w:val="00AEEF"/>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一般来说，直接获取的审计证据比间接获取或推论得出的审计证据更可靠。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审计人员为证明某一事项而自己动手编制的分析表属于内部证据。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二、单项选择题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实物证据通常用来证明（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实物资产的存在</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实物资产的所有权 </w:t>
      </w:r>
    </w:p>
    <w:p>
      <w:pPr>
        <w:keepNext w:val="0"/>
        <w:keepLines w:val="0"/>
        <w:widowControl/>
        <w:suppressLineNumbers w:val="0"/>
        <w:jc w:val="left"/>
        <w:rPr>
          <w:rFonts w:hint="default" w:ascii="Times New Roman" w:hAnsi="Times New Roman" w:eastAsia="宋体" w:cs="Times New Roman"/>
          <w:color w:val="231F20"/>
          <w:kern w:val="0"/>
          <w:sz w:val="21"/>
          <w:szCs w:val="21"/>
          <w:lang w:val="en-US" w:eastAsia="zh-CN" w:bidi="ar"/>
        </w:rPr>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实物资产的计价准确性</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有关会计记录的正确性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在下列审计证据中，可靠性最弱的是（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购货发票</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入库单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银行对账单</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应收账款函证的回函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审计证据的相关性是指审计证据必须与（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）相关。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审计内容</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审计目标</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审计范围</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审计程序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在确定审计证据的相关性时，下列事项不属于注册会计师应当考虑的是（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特定的审计程序可能只为某些认定提供相关的审计证据，而与其他认定无关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针对同一项认定可以从不同来源获取审计证据或获取不同性质的审计证据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与特定认定相关的审计证据是否充分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只与特定认定相关的审计证据并不能替代与其他认定相关的审计证据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在审计过程中，注册会计师将了解到的被审计单位管理层的诚信情况形成文字记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录，属于（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实物证据</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书面证据</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环境证据</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口头证据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三、多项选择题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下列项目中，可以作为审计证据的有（ </w:t>
      </w:r>
      <w:r>
        <w:rPr>
          <w:rFonts w:hint="eastAsia" w:ascii="方正书宋简体" w:hAnsi="方正书宋简体" w:eastAsia="方正书宋简体" w:cs="方正书宋简体"/>
          <w:color w:val="231F20"/>
          <w:kern w:val="0"/>
          <w:sz w:val="21"/>
          <w:szCs w:val="21"/>
          <w:lang w:val="en-US" w:eastAsia="zh-CN" w:bidi="ar"/>
        </w:rPr>
        <w:t>ABCD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原始凭证、记账凭证和会计账簿等会计记录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被审计单位的会议记录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内部控制手册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注册会计师编制的各种计算表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审计证据是否有说服力，关键在于审计证据是否具备（ </w:t>
      </w:r>
      <w:r>
        <w:rPr>
          <w:rFonts w:hint="eastAsia" w:ascii="方正书宋简体" w:hAnsi="方正书宋简体" w:eastAsia="方正书宋简体" w:cs="方正书宋简体"/>
          <w:color w:val="231F20"/>
          <w:kern w:val="0"/>
          <w:sz w:val="21"/>
          <w:szCs w:val="21"/>
          <w:lang w:val="en-US" w:eastAsia="zh-CN" w:bidi="ar"/>
        </w:rPr>
        <w:t>AB</w:t>
      </w:r>
      <w:r>
        <w:rPr>
          <w:rFonts w:hint="default" w:ascii="方正书宋简体" w:hAnsi="方正书宋简体" w:eastAsia="方正书宋简体" w:cs="方正书宋简体"/>
          <w:color w:val="231F20"/>
          <w:kern w:val="0"/>
          <w:sz w:val="21"/>
          <w:szCs w:val="21"/>
          <w:lang w:val="en-US" w:eastAsia="zh-CN" w:bidi="ar"/>
        </w:rPr>
        <w:t xml:space="preserve"> ）两个特征。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充分性</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适当性</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及时性</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正确性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评价审计证据的适当性时，注册会计师一般应考虑审计证据的（ </w:t>
      </w:r>
      <w:r>
        <w:rPr>
          <w:rFonts w:hint="eastAsia" w:ascii="方正书宋简体" w:hAnsi="方正书宋简体" w:eastAsia="方正书宋简体" w:cs="方正书宋简体"/>
          <w:color w:val="231F20"/>
          <w:kern w:val="0"/>
          <w:sz w:val="21"/>
          <w:szCs w:val="21"/>
          <w:lang w:val="en-US" w:eastAsia="zh-CN" w:bidi="ar"/>
        </w:rPr>
        <w:t>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重要性</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可靠性</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相关性</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及时性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以下审计证据中，属于外部证据的有（ </w:t>
      </w:r>
      <w:r>
        <w:rPr>
          <w:rFonts w:hint="eastAsia" w:ascii="方正书宋简体" w:hAnsi="方正书宋简体" w:eastAsia="方正书宋简体" w:cs="方正书宋简体"/>
          <w:color w:val="231F20"/>
          <w:kern w:val="0"/>
          <w:sz w:val="21"/>
          <w:szCs w:val="21"/>
          <w:lang w:val="en-US" w:eastAsia="zh-CN" w:bidi="ar"/>
        </w:rPr>
        <w:t>AD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购货发票</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发货单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生产领料单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银行存款函证回函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注册会计师通过对财务报表审计，获取的下列审计证据中，属于内部证据的有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AB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被审计单位管理当局声明书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被审计单位提供的销售合同</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被审计单位提供的供应商开具的发票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被审计单位提供的律师事务所的律师声明书</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任务二 掌握获取审计证据的程序与方法</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一、判断题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 xml:space="preserve">注册会计师可以考虑获取审计证据的成本与所获取信息的有用性之间的关系，因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此，当获取审计证据很困难和成本很高时，注册会计师可以此为由减少不可替代的审计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程序。</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风险评估程序足以为发表审计意见提供充分、适当的审计证据。</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rPr>
          <w:rFonts w:hint="default" w:ascii="方正书宋简体" w:hAnsi="方正书宋简体" w:eastAsia="方正书宋简体" w:cs="方正书宋简体"/>
          <w:color w:val="231F20"/>
          <w:kern w:val="0"/>
          <w:sz w:val="21"/>
          <w:szCs w:val="21"/>
          <w:lang w:val="en-US" w:eastAsia="zh-CN" w:bidi="ar"/>
        </w:rPr>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对被审计单位进行报送财务审计时，同样应采用盘点法、观察法。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顺查法一般适用于规模较大、业务较多的大中型企业和凭证较多的行政事业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单位。</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详查法的主要缺点是工作量太大，消耗人力和时间过多，审查成本高，所以难以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普遍采用。</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6. </w:t>
      </w:r>
      <w:r>
        <w:rPr>
          <w:rFonts w:hint="default" w:ascii="方正书宋简体" w:hAnsi="方正书宋简体" w:eastAsia="方正书宋简体" w:cs="方正书宋简体"/>
          <w:color w:val="231F20"/>
          <w:kern w:val="0"/>
          <w:sz w:val="21"/>
          <w:szCs w:val="21"/>
          <w:lang w:val="en-US" w:eastAsia="zh-CN" w:bidi="ar"/>
        </w:rPr>
        <w:t xml:space="preserve">统计抽样有很多优点，并解决了判断抽样难以解决的问题，因此统计抽样的产生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意味着判断抽样的消亡。</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rPr>
          <w:rFonts w:hint="default" w:ascii="方正书宋简体" w:hAnsi="方正书宋简体" w:eastAsia="方正书宋简体" w:cs="方正书宋简体"/>
          <w:color w:val="231F20"/>
          <w:kern w:val="0"/>
          <w:sz w:val="21"/>
          <w:szCs w:val="21"/>
          <w:lang w:val="en-US" w:eastAsia="zh-CN" w:bidi="ar"/>
        </w:rPr>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7. </w:t>
      </w:r>
      <w:r>
        <w:rPr>
          <w:rFonts w:hint="default" w:ascii="方正书宋简体" w:hAnsi="方正书宋简体" w:eastAsia="方正书宋简体" w:cs="方正书宋简体"/>
          <w:color w:val="231F20"/>
          <w:kern w:val="0"/>
          <w:sz w:val="21"/>
          <w:szCs w:val="21"/>
          <w:lang w:val="en-US" w:eastAsia="zh-CN" w:bidi="ar"/>
        </w:rPr>
        <w:t xml:space="preserve">虽然各被审计单位的业务性质和规模不同，但其业务循环的划分应该一样。 </w:t>
      </w:r>
    </w:p>
    <w:p>
      <w:pPr>
        <w:keepNext w:val="0"/>
        <w:keepLines w:val="0"/>
        <w:widowControl/>
        <w:suppressLineNumbers w:val="0"/>
        <w:jc w:val="left"/>
        <w:rPr>
          <w:rFonts w:hint="default" w:ascii="方正书宋简体" w:hAnsi="方正书宋简体" w:eastAsia="方正书宋简体" w:cs="方正书宋简体"/>
          <w:color w:val="231F20"/>
          <w:kern w:val="0"/>
          <w:sz w:val="21"/>
          <w:szCs w:val="21"/>
          <w:lang w:val="en-US" w:eastAsia="zh-CN" w:bidi="ar"/>
        </w:rPr>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二、单项选择题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注册会计师需要获取的审计证据的数量受错报风险和审计质量的影响。错报风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险（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），需要的审计证据可能（  ）。审计证据质量（  ），需要的审计证据可能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大 少 高 少</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大 少 高 多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大 多 高 多</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大 多 高 少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函询是通过向有关单位发函了解情况取得证据的一种方法，这种方法一般用于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）的查证。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无形资产</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固定资产</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往来款项</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流动资产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现代审计的一个重要特征就是在评审被审计单位内部控制系统基础上实行（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抽样审计</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逆查法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详查法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审阅法</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4.</w:t>
      </w: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）是指在审查某个项目时，通过调整有关数据，从而求得需要证实的数据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的方法。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鉴定法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调节法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盘存法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抽样法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审计人员亲自到现场观察企业内部控制、人员素质的方法通常称为（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询问法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函证法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观察法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鉴定法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6.</w:t>
      </w: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）的高低与抽取样本的多少成反比例的关系。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可靠程序</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精确度</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预计差错</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抽样误差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7. </w:t>
      </w:r>
      <w:r>
        <w:rPr>
          <w:rFonts w:hint="default" w:ascii="方正书宋简体" w:hAnsi="方正书宋简体" w:eastAsia="方正书宋简体" w:cs="方正书宋简体"/>
          <w:color w:val="231F20"/>
          <w:kern w:val="0"/>
          <w:sz w:val="21"/>
          <w:szCs w:val="21"/>
          <w:lang w:val="en-US" w:eastAsia="zh-CN" w:bidi="ar"/>
        </w:rPr>
        <w:t xml:space="preserve">经营风险导向审计明确了审计工作以（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）为起点和导向。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评估财务报表重大错报风险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内部控制测试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被审计单位内部审计工作结果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检查账证表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8. </w:t>
      </w:r>
      <w:r>
        <w:rPr>
          <w:rFonts w:hint="default" w:ascii="方正书宋简体" w:hAnsi="方正书宋简体" w:eastAsia="方正书宋简体" w:cs="方正书宋简体"/>
          <w:color w:val="231F20"/>
          <w:kern w:val="0"/>
          <w:sz w:val="21"/>
          <w:szCs w:val="21"/>
          <w:lang w:val="en-US" w:eastAsia="zh-CN" w:bidi="ar"/>
        </w:rPr>
        <w:t xml:space="preserve">按（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）来组织财务报表审计的方法称为业务循环法。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财务报表项目</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业务循环</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内部控制</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重大错报风险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三、多项选择题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以下不是审计查账的技术方法的是（ </w:t>
      </w:r>
      <w:r>
        <w:rPr>
          <w:rFonts w:hint="eastAsia" w:ascii="方正书宋简体" w:hAnsi="方正书宋简体" w:eastAsia="方正书宋简体" w:cs="方正书宋简体"/>
          <w:color w:val="231F20"/>
          <w:kern w:val="0"/>
          <w:sz w:val="21"/>
          <w:szCs w:val="21"/>
          <w:lang w:val="en-US" w:eastAsia="zh-CN" w:bidi="ar"/>
        </w:rPr>
        <w:t>AC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顺查法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审阅法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函证法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调节法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审查书面资料的方法按审查书面资料的顺序可分为（ </w:t>
      </w:r>
      <w:r>
        <w:rPr>
          <w:rFonts w:hint="eastAsia" w:ascii="方正书宋简体" w:hAnsi="方正书宋简体" w:eastAsia="方正书宋简体" w:cs="方正书宋简体"/>
          <w:color w:val="231F20"/>
          <w:kern w:val="0"/>
          <w:sz w:val="21"/>
          <w:szCs w:val="21"/>
          <w:lang w:val="en-US" w:eastAsia="zh-CN" w:bidi="ar"/>
        </w:rPr>
        <w:t>CE</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详查法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抽查法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顺查法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审阅法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逆查法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审查书面资料的方法按审查书面资料所涉及的数量可分为（ </w:t>
      </w:r>
      <w:r>
        <w:rPr>
          <w:rFonts w:hint="eastAsia" w:ascii="方正书宋简体" w:hAnsi="方正书宋简体" w:eastAsia="方正书宋简体" w:cs="方正书宋简体"/>
          <w:color w:val="231F20"/>
          <w:kern w:val="0"/>
          <w:sz w:val="21"/>
          <w:szCs w:val="21"/>
          <w:lang w:val="en-US" w:eastAsia="zh-CN" w:bidi="ar"/>
        </w:rPr>
        <w:t>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顺查法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详查法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抽查法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逆查法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分析法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证实客观事物的方法，主要包括（ </w:t>
      </w:r>
      <w:r>
        <w:rPr>
          <w:rFonts w:hint="eastAsia" w:ascii="方正书宋简体" w:hAnsi="方正书宋简体" w:eastAsia="方正书宋简体" w:cs="方正书宋简体"/>
          <w:color w:val="231F20"/>
          <w:kern w:val="0"/>
          <w:sz w:val="21"/>
          <w:szCs w:val="21"/>
          <w:lang w:val="en-US" w:eastAsia="zh-CN" w:bidi="ar"/>
        </w:rPr>
        <w:t>BCDE</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核对法</w:t>
      </w:r>
      <w:r>
        <w:rPr>
          <w:rFonts w:hint="default" w:ascii="Times New Roman" w:hAnsi="Times New Roman" w:eastAsia="宋体" w:cs="Times New Roman"/>
          <w:color w:val="231F20"/>
          <w:kern w:val="0"/>
          <w:sz w:val="21"/>
          <w:szCs w:val="21"/>
          <w:lang w:val="en-US" w:eastAsia="zh-CN" w:bidi="ar"/>
        </w:rPr>
        <w:t xml:space="preserve"> B. </w:t>
      </w:r>
      <w:r>
        <w:rPr>
          <w:rFonts w:hint="default" w:ascii="方正书宋简体" w:hAnsi="方正书宋简体" w:eastAsia="方正书宋简体" w:cs="方正书宋简体"/>
          <w:color w:val="231F20"/>
          <w:kern w:val="0"/>
          <w:sz w:val="21"/>
          <w:szCs w:val="21"/>
          <w:lang w:val="en-US" w:eastAsia="zh-CN" w:bidi="ar"/>
        </w:rPr>
        <w:t>盘点法</w:t>
      </w:r>
      <w:r>
        <w:rPr>
          <w:rFonts w:hint="default" w:ascii="Times New Roman" w:hAnsi="Times New Roman" w:eastAsia="宋体" w:cs="Times New Roman"/>
          <w:color w:val="231F20"/>
          <w:kern w:val="0"/>
          <w:sz w:val="21"/>
          <w:szCs w:val="21"/>
          <w:lang w:val="en-US" w:eastAsia="zh-CN" w:bidi="ar"/>
        </w:rPr>
        <w:t xml:space="preserve"> C. </w:t>
      </w:r>
      <w:r>
        <w:rPr>
          <w:rFonts w:hint="default" w:ascii="方正书宋简体" w:hAnsi="方正书宋简体" w:eastAsia="方正书宋简体" w:cs="方正书宋简体"/>
          <w:color w:val="231F20"/>
          <w:kern w:val="0"/>
          <w:sz w:val="21"/>
          <w:szCs w:val="21"/>
          <w:lang w:val="en-US" w:eastAsia="zh-CN" w:bidi="ar"/>
        </w:rPr>
        <w:t>调节法</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观察法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E. </w:t>
      </w:r>
      <w:r>
        <w:rPr>
          <w:rFonts w:hint="default" w:ascii="方正书宋简体" w:hAnsi="方正书宋简体" w:eastAsia="方正书宋简体" w:cs="方正书宋简体"/>
          <w:color w:val="231F20"/>
          <w:kern w:val="0"/>
          <w:sz w:val="21"/>
          <w:szCs w:val="21"/>
          <w:lang w:val="en-US" w:eastAsia="zh-CN" w:bidi="ar"/>
        </w:rPr>
        <w:t xml:space="preserve">鉴定法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制造业企业可以划分为下面几个业务循环，即（ </w:t>
      </w:r>
      <w:r>
        <w:rPr>
          <w:rFonts w:hint="eastAsia" w:ascii="方正书宋简体" w:hAnsi="方正书宋简体" w:eastAsia="方正书宋简体" w:cs="方正书宋简体"/>
          <w:color w:val="231F20"/>
          <w:kern w:val="0"/>
          <w:sz w:val="21"/>
          <w:szCs w:val="21"/>
          <w:lang w:val="en-US" w:eastAsia="zh-CN" w:bidi="ar"/>
        </w:rPr>
        <w:t>ABCD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销售与收款循环</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购货与付款循环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筹资与投资循环</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生产循环</w:t>
      </w:r>
    </w:p>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任务三 编制审计工作底稿</w:t>
      </w:r>
    </w:p>
    <w:p>
      <w:pPr>
        <w:keepNext w:val="0"/>
        <w:keepLines w:val="0"/>
        <w:widowControl/>
        <w:suppressLineNumbers w:val="0"/>
        <w:jc w:val="left"/>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职业判断能力训练</w:t>
      </w:r>
    </w:p>
    <w:p>
      <w:pPr>
        <w:keepNext w:val="0"/>
        <w:keepLines w:val="0"/>
        <w:widowControl/>
        <w:suppressLineNumbers w:val="0"/>
        <w:jc w:val="left"/>
      </w:pPr>
      <w:r>
        <w:rPr>
          <w:rFonts w:ascii="方正黑体简体" w:hAnsi="方正黑体简体" w:eastAsia="方正黑体简体" w:cs="方正黑体简体"/>
          <w:color w:val="00AEEF"/>
          <w:kern w:val="0"/>
          <w:sz w:val="22"/>
          <w:szCs w:val="22"/>
          <w:lang w:val="en-US" w:eastAsia="zh-CN" w:bidi="ar"/>
        </w:rPr>
        <w:t xml:space="preserve">一、判断题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ascii="方正书宋简体" w:hAnsi="方正书宋简体" w:eastAsia="方正书宋简体" w:cs="方正书宋简体"/>
          <w:color w:val="231F20"/>
          <w:kern w:val="0"/>
          <w:sz w:val="21"/>
          <w:szCs w:val="21"/>
          <w:lang w:val="en-US" w:eastAsia="zh-CN" w:bidi="ar"/>
        </w:rPr>
        <w:t>在外勤工作结束时，应由项目经理对工作底稿进行重点复核。</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审计工作底稿可以纸质、电子或其他介质形式存在。</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编制审计工作底稿的文字只能使用中文。</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在对被审计单位进行审计中所形成的审计工作底稿，其所有权归执行此项业务的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注册会计师。</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二、单项选择题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审计工作底稿的所有权应该属于（ </w:t>
      </w:r>
      <w:r>
        <w:rPr>
          <w:rFonts w:hint="eastAsia" w:ascii="方正书宋简体" w:hAnsi="方正书宋简体" w:eastAsia="方正书宋简体" w:cs="方正书宋简体"/>
          <w:color w:val="231F20"/>
          <w:kern w:val="0"/>
          <w:sz w:val="21"/>
          <w:szCs w:val="21"/>
          <w:lang w:val="en-US" w:eastAsia="zh-CN" w:bidi="ar"/>
        </w:rPr>
        <w:t>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委托单位</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被审计单位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会计师事务所</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编制工作底稿的注册会计师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审计工作底稿的归档期限为审计报告日后（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）内。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A.30 </w:t>
      </w:r>
      <w:r>
        <w:rPr>
          <w:rFonts w:hint="default" w:ascii="方正书宋简体" w:hAnsi="方正书宋简体" w:eastAsia="方正书宋简体" w:cs="方正书宋简体"/>
          <w:color w:val="231F20"/>
          <w:kern w:val="0"/>
          <w:sz w:val="21"/>
          <w:szCs w:val="21"/>
          <w:lang w:val="en-US" w:eastAsia="zh-CN" w:bidi="ar"/>
        </w:rPr>
        <w:t>天</w:t>
      </w:r>
      <w:r>
        <w:rPr>
          <w:rFonts w:hint="default" w:ascii="Times New Roman" w:hAnsi="Times New Roman" w:eastAsia="宋体" w:cs="Times New Roman"/>
          <w:color w:val="231F20"/>
          <w:kern w:val="0"/>
          <w:sz w:val="21"/>
          <w:szCs w:val="21"/>
          <w:lang w:val="en-US" w:eastAsia="zh-CN" w:bidi="ar"/>
        </w:rPr>
        <w:t xml:space="preserve"> B.20 </w:t>
      </w:r>
      <w:r>
        <w:rPr>
          <w:rFonts w:hint="default" w:ascii="方正书宋简体" w:hAnsi="方正书宋简体" w:eastAsia="方正书宋简体" w:cs="方正书宋简体"/>
          <w:color w:val="231F20"/>
          <w:kern w:val="0"/>
          <w:sz w:val="21"/>
          <w:szCs w:val="21"/>
          <w:lang w:val="en-US" w:eastAsia="zh-CN" w:bidi="ar"/>
        </w:rPr>
        <w:t>天</w:t>
      </w:r>
      <w:r>
        <w:rPr>
          <w:rFonts w:hint="default" w:ascii="Times New Roman" w:hAnsi="Times New Roman" w:eastAsia="宋体" w:cs="Times New Roman"/>
          <w:color w:val="231F20"/>
          <w:kern w:val="0"/>
          <w:sz w:val="21"/>
          <w:szCs w:val="21"/>
          <w:lang w:val="en-US" w:eastAsia="zh-CN" w:bidi="ar"/>
        </w:rPr>
        <w:t xml:space="preserve"> C.50 </w:t>
      </w:r>
      <w:r>
        <w:rPr>
          <w:rFonts w:hint="default" w:ascii="方正书宋简体" w:hAnsi="方正书宋简体" w:eastAsia="方正书宋简体" w:cs="方正书宋简体"/>
          <w:color w:val="231F20"/>
          <w:kern w:val="0"/>
          <w:sz w:val="21"/>
          <w:szCs w:val="21"/>
          <w:lang w:val="en-US" w:eastAsia="zh-CN" w:bidi="ar"/>
        </w:rPr>
        <w:t>天</w:t>
      </w:r>
      <w:r>
        <w:rPr>
          <w:rFonts w:hint="default" w:ascii="Times New Roman" w:hAnsi="Times New Roman" w:eastAsia="宋体" w:cs="Times New Roman"/>
          <w:color w:val="231F20"/>
          <w:kern w:val="0"/>
          <w:sz w:val="21"/>
          <w:szCs w:val="21"/>
          <w:lang w:val="en-US" w:eastAsia="zh-CN" w:bidi="ar"/>
        </w:rPr>
        <w:t xml:space="preserve"> D.60 </w:t>
      </w:r>
      <w:r>
        <w:rPr>
          <w:rFonts w:hint="default" w:ascii="方正书宋简体" w:hAnsi="方正书宋简体" w:eastAsia="方正书宋简体" w:cs="方正书宋简体"/>
          <w:color w:val="231F20"/>
          <w:kern w:val="0"/>
          <w:sz w:val="21"/>
          <w:szCs w:val="21"/>
          <w:lang w:val="en-US" w:eastAsia="zh-CN" w:bidi="ar"/>
        </w:rPr>
        <w:t xml:space="preserve">天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会计师事务所应当自审计报告日起，对审计工作底稿至少保存（ </w:t>
      </w:r>
      <w:r>
        <w:rPr>
          <w:rFonts w:hint="eastAsia" w:ascii="方正书宋简体" w:hAnsi="方正书宋简体" w:eastAsia="方正书宋简体" w:cs="方正书宋简体"/>
          <w:color w:val="231F20"/>
          <w:kern w:val="0"/>
          <w:sz w:val="21"/>
          <w:szCs w:val="21"/>
          <w:lang w:val="en-US" w:eastAsia="zh-CN" w:bidi="ar"/>
        </w:rPr>
        <w:t>B</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A.5 </w:t>
      </w:r>
      <w:r>
        <w:rPr>
          <w:rFonts w:hint="default" w:ascii="方正书宋简体" w:hAnsi="方正书宋简体" w:eastAsia="方正书宋简体" w:cs="方正书宋简体"/>
          <w:color w:val="231F20"/>
          <w:kern w:val="0"/>
          <w:sz w:val="21"/>
          <w:szCs w:val="21"/>
          <w:lang w:val="en-US" w:eastAsia="zh-CN" w:bidi="ar"/>
        </w:rPr>
        <w:t>年</w:t>
      </w:r>
      <w:r>
        <w:rPr>
          <w:rFonts w:hint="default" w:ascii="Times New Roman" w:hAnsi="Times New Roman" w:eastAsia="宋体" w:cs="Times New Roman"/>
          <w:color w:val="231F20"/>
          <w:kern w:val="0"/>
          <w:sz w:val="21"/>
          <w:szCs w:val="21"/>
          <w:lang w:val="en-US" w:eastAsia="zh-CN" w:bidi="ar"/>
        </w:rPr>
        <w:t xml:space="preserve"> B.10 </w:t>
      </w:r>
      <w:r>
        <w:rPr>
          <w:rFonts w:hint="default" w:ascii="方正书宋简体" w:hAnsi="方正书宋简体" w:eastAsia="方正书宋简体" w:cs="方正书宋简体"/>
          <w:color w:val="231F20"/>
          <w:kern w:val="0"/>
          <w:sz w:val="21"/>
          <w:szCs w:val="21"/>
          <w:lang w:val="en-US" w:eastAsia="zh-CN" w:bidi="ar"/>
        </w:rPr>
        <w:t>年</w:t>
      </w:r>
      <w:r>
        <w:rPr>
          <w:rFonts w:hint="default" w:ascii="Times New Roman" w:hAnsi="Times New Roman" w:eastAsia="宋体" w:cs="Times New Roman"/>
          <w:color w:val="231F20"/>
          <w:kern w:val="0"/>
          <w:sz w:val="21"/>
          <w:szCs w:val="21"/>
          <w:lang w:val="en-US" w:eastAsia="zh-CN" w:bidi="ar"/>
        </w:rPr>
        <w:t xml:space="preserve"> C.15 </w:t>
      </w:r>
      <w:r>
        <w:rPr>
          <w:rFonts w:hint="default" w:ascii="方正书宋简体" w:hAnsi="方正书宋简体" w:eastAsia="方正书宋简体" w:cs="方正书宋简体"/>
          <w:color w:val="231F20"/>
          <w:kern w:val="0"/>
          <w:sz w:val="21"/>
          <w:szCs w:val="21"/>
          <w:lang w:val="en-US" w:eastAsia="zh-CN" w:bidi="ar"/>
        </w:rPr>
        <w:t>年</w:t>
      </w:r>
      <w:r>
        <w:rPr>
          <w:rFonts w:hint="default" w:ascii="Times New Roman" w:hAnsi="Times New Roman" w:eastAsia="宋体" w:cs="Times New Roman"/>
          <w:color w:val="231F20"/>
          <w:kern w:val="0"/>
          <w:sz w:val="21"/>
          <w:szCs w:val="21"/>
          <w:lang w:val="en-US" w:eastAsia="zh-CN" w:bidi="ar"/>
        </w:rPr>
        <w:t xml:space="preserve"> D.20 </w:t>
      </w:r>
      <w:r>
        <w:rPr>
          <w:rFonts w:hint="default" w:ascii="方正书宋简体" w:hAnsi="方正书宋简体" w:eastAsia="方正书宋简体" w:cs="方正书宋简体"/>
          <w:color w:val="231F20"/>
          <w:kern w:val="0"/>
          <w:sz w:val="21"/>
          <w:szCs w:val="21"/>
          <w:lang w:val="en-US" w:eastAsia="zh-CN" w:bidi="ar"/>
        </w:rPr>
        <w:t xml:space="preserve">年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4.</w:t>
      </w:r>
      <w:r>
        <w:rPr>
          <w:rFonts w:hint="default" w:ascii="方正书宋简体" w:hAnsi="方正书宋简体" w:eastAsia="方正书宋简体" w:cs="方正书宋简体"/>
          <w:color w:val="231F20"/>
          <w:kern w:val="0"/>
          <w:sz w:val="21"/>
          <w:szCs w:val="21"/>
          <w:lang w:val="en-US" w:eastAsia="zh-CN" w:bidi="ar"/>
        </w:rPr>
        <w:t xml:space="preserve">（ </w:t>
      </w:r>
      <w:r>
        <w:rPr>
          <w:rFonts w:hint="eastAsia" w:ascii="方正书宋简体" w:hAnsi="方正书宋简体" w:eastAsia="方正书宋简体" w:cs="方正书宋简体"/>
          <w:color w:val="231F20"/>
          <w:kern w:val="0"/>
          <w:sz w:val="21"/>
          <w:szCs w:val="21"/>
          <w:lang w:val="en-US" w:eastAsia="zh-CN" w:bidi="ar"/>
        </w:rPr>
        <w:t>A</w:t>
      </w:r>
      <w:r>
        <w:rPr>
          <w:rFonts w:hint="default" w:ascii="方正书宋简体" w:hAnsi="方正书宋简体" w:eastAsia="方正书宋简体" w:cs="方正书宋简体"/>
          <w:color w:val="231F20"/>
          <w:kern w:val="0"/>
          <w:sz w:val="21"/>
          <w:szCs w:val="21"/>
          <w:lang w:val="en-US" w:eastAsia="zh-CN" w:bidi="ar"/>
        </w:rPr>
        <w:t xml:space="preserve"> ）属于第一层复核，这层复核主要是评价已完成的审计工作、所获得的证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据和工作底稿编制人员形成的结论。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项目经理复核</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项目合伙人复核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项目质量控制复核</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注册会计师复核</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审计工作底稿的复核要点不包括（ </w:t>
      </w:r>
      <w:r>
        <w:rPr>
          <w:rFonts w:hint="eastAsia" w:ascii="方正书宋简体" w:hAnsi="方正书宋简体" w:eastAsia="方正书宋简体" w:cs="方正书宋简体"/>
          <w:color w:val="231F20"/>
          <w:kern w:val="0"/>
          <w:sz w:val="21"/>
          <w:szCs w:val="21"/>
          <w:lang w:val="en-US" w:eastAsia="zh-CN" w:bidi="ar"/>
        </w:rPr>
        <w:t>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审计结论是否恰当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审计判断是否有理有据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所获取的证据是否充分适当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所书写的文字是否清晰工整 </w:t>
      </w:r>
    </w:p>
    <w:p>
      <w:pPr>
        <w:keepNext w:val="0"/>
        <w:keepLines w:val="0"/>
        <w:widowControl/>
        <w:suppressLineNumbers w:val="0"/>
        <w:jc w:val="left"/>
      </w:pPr>
      <w:r>
        <w:rPr>
          <w:rFonts w:hint="default" w:ascii="方正黑体简体" w:hAnsi="方正黑体简体" w:eastAsia="方正黑体简体" w:cs="方正黑体简体"/>
          <w:color w:val="00AEEF"/>
          <w:kern w:val="0"/>
          <w:sz w:val="22"/>
          <w:szCs w:val="22"/>
          <w:lang w:val="en-US" w:eastAsia="zh-CN" w:bidi="ar"/>
        </w:rPr>
        <w:t xml:space="preserve">三、多项选择题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1. </w:t>
      </w:r>
      <w:r>
        <w:rPr>
          <w:rFonts w:hint="default" w:ascii="方正书宋简体" w:hAnsi="方正书宋简体" w:eastAsia="方正书宋简体" w:cs="方正书宋简体"/>
          <w:color w:val="231F20"/>
          <w:kern w:val="0"/>
          <w:sz w:val="21"/>
          <w:szCs w:val="21"/>
          <w:lang w:val="en-US" w:eastAsia="zh-CN" w:bidi="ar"/>
        </w:rPr>
        <w:t xml:space="preserve">关于审计工作底稿的说法中，以下正确的是（ </w:t>
      </w:r>
      <w:r>
        <w:rPr>
          <w:rFonts w:hint="eastAsia" w:ascii="方正书宋简体" w:hAnsi="方正书宋简体" w:eastAsia="方正书宋简体" w:cs="方正书宋简体"/>
          <w:color w:val="231F20"/>
          <w:kern w:val="0"/>
          <w:sz w:val="21"/>
          <w:szCs w:val="21"/>
          <w:lang w:val="en-US" w:eastAsia="zh-CN" w:bidi="ar"/>
        </w:rPr>
        <w:t>ABC</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审计工作底稿是注册会计师对制订的审计计划、实施的审计程序、获取的相关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审计证据及得出的审计结论做的记录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审计工作底稿是审计证据的载体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审计工作底稿形成于审计过程，也反映整个审计过程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审计工作底稿是审计人员与被审计单位沟通的唯一方法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2. </w:t>
      </w:r>
      <w:r>
        <w:rPr>
          <w:rFonts w:hint="default" w:ascii="方正书宋简体" w:hAnsi="方正书宋简体" w:eastAsia="方正书宋简体" w:cs="方正书宋简体"/>
          <w:color w:val="231F20"/>
          <w:kern w:val="0"/>
          <w:sz w:val="21"/>
          <w:szCs w:val="21"/>
          <w:lang w:val="en-US" w:eastAsia="zh-CN" w:bidi="ar"/>
        </w:rPr>
        <w:t xml:space="preserve">下列各项中，应作为审计工作底稿的有（ </w:t>
      </w:r>
      <w:r>
        <w:rPr>
          <w:rFonts w:hint="eastAsia" w:ascii="方正书宋简体" w:hAnsi="方正书宋简体" w:eastAsia="方正书宋简体" w:cs="方正书宋简体"/>
          <w:color w:val="231F20"/>
          <w:kern w:val="0"/>
          <w:sz w:val="21"/>
          <w:szCs w:val="21"/>
          <w:lang w:val="en-US" w:eastAsia="zh-CN" w:bidi="ar"/>
        </w:rPr>
        <w:t>ACD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问题备忘录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财务报表草稿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有关重大事项的往来信件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被审计单位文件记录的摘要或复印件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3. </w:t>
      </w:r>
      <w:r>
        <w:rPr>
          <w:rFonts w:hint="default" w:ascii="方正书宋简体" w:hAnsi="方正书宋简体" w:eastAsia="方正书宋简体" w:cs="方正书宋简体"/>
          <w:color w:val="231F20"/>
          <w:kern w:val="0"/>
          <w:sz w:val="21"/>
          <w:szCs w:val="21"/>
          <w:lang w:val="en-US" w:eastAsia="zh-CN" w:bidi="ar"/>
        </w:rPr>
        <w:t xml:space="preserve">下列项目中，属于项目质量控制复核内容的有（ </w:t>
      </w:r>
      <w:r>
        <w:rPr>
          <w:rFonts w:hint="eastAsia" w:ascii="方正书宋简体" w:hAnsi="方正书宋简体" w:eastAsia="方正书宋简体" w:cs="方正书宋简体"/>
          <w:color w:val="231F20"/>
          <w:kern w:val="0"/>
          <w:sz w:val="21"/>
          <w:szCs w:val="21"/>
          <w:lang w:val="en-US" w:eastAsia="zh-CN" w:bidi="ar"/>
        </w:rPr>
        <w:t>BCD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复查重点审计项目的审计证据是否充分、适当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项目组就具体业务对会计师事务所独立性做出的评价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在审计过程中识别的特别风险以及采取的应对措施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 xml:space="preserve">在审计过程中识别的已更正和未更正的错报的重要程度及处理情况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4. </w:t>
      </w:r>
      <w:r>
        <w:rPr>
          <w:rFonts w:hint="default" w:ascii="方正书宋简体" w:hAnsi="方正书宋简体" w:eastAsia="方正书宋简体" w:cs="方正书宋简体"/>
          <w:color w:val="231F20"/>
          <w:kern w:val="0"/>
          <w:sz w:val="21"/>
          <w:szCs w:val="21"/>
          <w:lang w:val="en-US" w:eastAsia="zh-CN" w:bidi="ar"/>
        </w:rPr>
        <w:t xml:space="preserve">当期档案只供当期审计使用和下期审计参考的审计工作底稿，下列属于当期档案 </w:t>
      </w:r>
    </w:p>
    <w:p>
      <w:pPr>
        <w:keepNext w:val="0"/>
        <w:keepLines w:val="0"/>
        <w:widowControl/>
        <w:suppressLineNumbers w:val="0"/>
        <w:jc w:val="left"/>
      </w:pPr>
      <w:r>
        <w:rPr>
          <w:rFonts w:hint="default" w:ascii="方正书宋简体" w:hAnsi="方正书宋简体" w:eastAsia="方正书宋简体" w:cs="方正书宋简体"/>
          <w:color w:val="231F20"/>
          <w:kern w:val="0"/>
          <w:sz w:val="21"/>
          <w:szCs w:val="21"/>
          <w:lang w:val="en-US" w:eastAsia="zh-CN" w:bidi="ar"/>
        </w:rPr>
        <w:t xml:space="preserve">的有（ </w:t>
      </w:r>
      <w:r>
        <w:rPr>
          <w:rFonts w:hint="eastAsia" w:ascii="方正书宋简体" w:hAnsi="方正书宋简体" w:eastAsia="方正书宋简体" w:cs="方正书宋简体"/>
          <w:color w:val="231F20"/>
          <w:kern w:val="0"/>
          <w:sz w:val="21"/>
          <w:szCs w:val="21"/>
          <w:lang w:val="en-US" w:eastAsia="zh-CN" w:bidi="ar"/>
        </w:rPr>
        <w:t>ACD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现金盘点表</w:t>
      </w:r>
      <w:r>
        <w:rPr>
          <w:rFonts w:hint="default" w:ascii="Times New Roman" w:hAnsi="Times New Roman" w:eastAsia="宋体" w:cs="Times New Roman"/>
          <w:color w:val="231F20"/>
          <w:kern w:val="0"/>
          <w:sz w:val="21"/>
          <w:szCs w:val="21"/>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法律性文件复印件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应收账款询证回函</w:t>
      </w:r>
      <w:r>
        <w:rPr>
          <w:rFonts w:hint="default" w:ascii="Times New Roman" w:hAnsi="Times New Roman" w:eastAsia="宋体" w:cs="Times New Roman"/>
          <w:color w:val="231F20"/>
          <w:kern w:val="0"/>
          <w:sz w:val="21"/>
          <w:szCs w:val="21"/>
          <w:lang w:val="en-US" w:eastAsia="zh-CN" w:bidi="ar"/>
        </w:rPr>
        <w:t xml:space="preserve"> D. </w:t>
      </w:r>
      <w:r>
        <w:rPr>
          <w:rFonts w:hint="default" w:ascii="方正书宋简体" w:hAnsi="方正书宋简体" w:eastAsia="方正书宋简体" w:cs="方正书宋简体"/>
          <w:color w:val="231F20"/>
          <w:kern w:val="0"/>
          <w:sz w:val="21"/>
          <w:szCs w:val="21"/>
          <w:lang w:val="en-US" w:eastAsia="zh-CN" w:bidi="ar"/>
        </w:rPr>
        <w:t xml:space="preserve">固定资产盘点清查表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5. </w:t>
      </w:r>
      <w:r>
        <w:rPr>
          <w:rFonts w:hint="default" w:ascii="方正书宋简体" w:hAnsi="方正书宋简体" w:eastAsia="方正书宋简体" w:cs="方正书宋简体"/>
          <w:color w:val="231F20"/>
          <w:kern w:val="0"/>
          <w:sz w:val="21"/>
          <w:szCs w:val="21"/>
          <w:lang w:val="en-US" w:eastAsia="zh-CN" w:bidi="ar"/>
        </w:rPr>
        <w:t xml:space="preserve">下列各项情况中，会计师事务所应当允许查阅会计档案的有（ </w:t>
      </w:r>
      <w:r>
        <w:rPr>
          <w:rFonts w:hint="eastAsia" w:ascii="方正书宋简体" w:hAnsi="方正书宋简体" w:eastAsia="方正书宋简体" w:cs="方正书宋简体"/>
          <w:color w:val="231F20"/>
          <w:kern w:val="0"/>
          <w:sz w:val="21"/>
          <w:szCs w:val="21"/>
          <w:lang w:val="en-US" w:eastAsia="zh-CN" w:bidi="ar"/>
        </w:rPr>
        <w:t>ABD</w:t>
      </w:r>
      <w:r>
        <w:rPr>
          <w:rFonts w:hint="default" w:ascii="方正书宋简体" w:hAnsi="方正书宋简体" w:eastAsia="方正书宋简体" w:cs="方正书宋简体"/>
          <w:color w:val="231F20"/>
          <w:kern w:val="0"/>
          <w:sz w:val="21"/>
          <w:szCs w:val="21"/>
          <w:lang w:val="en-US" w:eastAsia="zh-CN" w:bidi="ar"/>
        </w:rPr>
        <w:t xml:space="preserve"> ）。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A. </w:t>
      </w:r>
      <w:r>
        <w:rPr>
          <w:rFonts w:hint="default" w:ascii="方正书宋简体" w:hAnsi="方正书宋简体" w:eastAsia="方正书宋简体" w:cs="方正书宋简体"/>
          <w:color w:val="231F20"/>
          <w:kern w:val="0"/>
          <w:sz w:val="21"/>
          <w:szCs w:val="21"/>
          <w:lang w:val="en-US" w:eastAsia="zh-CN" w:bidi="ar"/>
        </w:rPr>
        <w:t xml:space="preserve">注册会计师协会在进行业务检查时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B. </w:t>
      </w:r>
      <w:r>
        <w:rPr>
          <w:rFonts w:hint="default" w:ascii="方正书宋简体" w:hAnsi="方正书宋简体" w:eastAsia="方正书宋简体" w:cs="方正书宋简体"/>
          <w:color w:val="231F20"/>
          <w:kern w:val="0"/>
          <w:sz w:val="21"/>
          <w:szCs w:val="21"/>
          <w:lang w:val="en-US" w:eastAsia="zh-CN" w:bidi="ar"/>
        </w:rPr>
        <w:t xml:space="preserve">检察院因工作需要时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C. </w:t>
      </w:r>
      <w:r>
        <w:rPr>
          <w:rFonts w:hint="default" w:ascii="方正书宋简体" w:hAnsi="方正书宋简体" w:eastAsia="方正书宋简体" w:cs="方正书宋简体"/>
          <w:color w:val="231F20"/>
          <w:kern w:val="0"/>
          <w:sz w:val="21"/>
          <w:szCs w:val="21"/>
          <w:lang w:val="en-US" w:eastAsia="zh-CN" w:bidi="ar"/>
        </w:rPr>
        <w:t xml:space="preserve">股东在进行决策时 </w:t>
      </w:r>
    </w:p>
    <w:p>
      <w:pPr>
        <w:keepNext w:val="0"/>
        <w:keepLines w:val="0"/>
        <w:widowControl/>
        <w:suppressLineNumbers w:val="0"/>
        <w:jc w:val="left"/>
      </w:pPr>
      <w:r>
        <w:rPr>
          <w:rFonts w:hint="default" w:ascii="Times New Roman" w:hAnsi="Times New Roman" w:eastAsia="宋体" w:cs="Times New Roman"/>
          <w:color w:val="231F20"/>
          <w:kern w:val="0"/>
          <w:sz w:val="21"/>
          <w:szCs w:val="21"/>
          <w:lang w:val="en-US" w:eastAsia="zh-CN" w:bidi="ar"/>
        </w:rPr>
        <w:t xml:space="preserve">D. </w:t>
      </w:r>
      <w:r>
        <w:rPr>
          <w:rFonts w:hint="default" w:ascii="方正书宋简体" w:hAnsi="方正书宋简体" w:eastAsia="方正书宋简体" w:cs="方正书宋简体"/>
          <w:color w:val="231F20"/>
          <w:kern w:val="0"/>
          <w:sz w:val="21"/>
          <w:szCs w:val="21"/>
          <w:lang w:val="en-US" w:eastAsia="zh-CN" w:bidi="ar"/>
        </w:rPr>
        <w:t>经委托人同意在联合审计时</w:t>
      </w:r>
    </w:p>
    <w:p>
      <w:pPr>
        <w:keepNext w:val="0"/>
        <w:keepLines w:val="0"/>
        <w:widowControl/>
        <w:suppressLineNumbers w:val="0"/>
        <w:jc w:val="left"/>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职业实践能力训练</w:t>
      </w:r>
    </w:p>
    <w:p>
      <w:pPr>
        <w:shd w:val="clear" w:color="auto" w:fill="FFFFFF"/>
        <w:ind w:firstLine="433" w:firstLineChars="197"/>
        <w:rPr>
          <w:rFonts w:hint="default"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实训一</w:t>
      </w:r>
    </w:p>
    <w:p>
      <w:pPr>
        <w:shd w:val="clear" w:color="auto" w:fill="FFFFFF"/>
        <w:ind w:firstLine="413" w:firstLineChars="197"/>
        <w:rPr>
          <w:rFonts w:ascii="仿宋" w:hAnsi="仿宋" w:eastAsia="仿宋"/>
          <w:szCs w:val="21"/>
        </w:rPr>
      </w:pPr>
      <w:r>
        <w:rPr>
          <w:rFonts w:ascii="仿宋" w:hAnsi="仿宋" w:eastAsia="仿宋"/>
          <w:szCs w:val="21"/>
        </w:rPr>
        <w:t>通过本案例的案情介绍可以看出，该审计项目为典型的厂长（经理）离任审计。根据该种审计</w:t>
      </w:r>
      <w:bookmarkStart w:id="0" w:name="_GoBack"/>
      <w:bookmarkEnd w:id="0"/>
      <w:r>
        <w:rPr>
          <w:rFonts w:ascii="仿宋" w:hAnsi="仿宋" w:eastAsia="仿宋"/>
          <w:szCs w:val="21"/>
        </w:rPr>
        <w:t>类型的特点，以及被审计单位业务状况、内部控制状况等，注册会计师</w:t>
      </w:r>
      <w:r>
        <w:rPr>
          <w:rFonts w:hint="eastAsia" w:ascii="仿宋" w:hAnsi="仿宋" w:eastAsia="仿宋"/>
          <w:szCs w:val="21"/>
        </w:rPr>
        <w:t>王胜和</w:t>
      </w:r>
      <w:r>
        <w:rPr>
          <w:rFonts w:ascii="仿宋" w:hAnsi="仿宋" w:eastAsia="仿宋"/>
          <w:szCs w:val="21"/>
        </w:rPr>
        <w:t>李明选择详查法显然是错误的，这也是造成审计失败的主要原因。一般来讲，像这种离任审计，由于受到审计性质、审计时间的约束，主要应以抽查法为主，就厂长（经理）在任期内部分业务有重点地加以审查评价，这样，既符合此类业务的审计要求，又遵循了现代常规审计的一般规律。 通过</w:t>
      </w:r>
      <w:r>
        <w:rPr>
          <w:rFonts w:hint="eastAsia" w:ascii="仿宋" w:hAnsi="仿宋" w:eastAsia="仿宋"/>
          <w:szCs w:val="21"/>
        </w:rPr>
        <w:t>王胜和</w:t>
      </w:r>
      <w:r>
        <w:rPr>
          <w:rFonts w:ascii="仿宋" w:hAnsi="仿宋" w:eastAsia="仿宋"/>
          <w:szCs w:val="21"/>
          <w:shd w:val="clear" w:color="auto" w:fill="FFFFFF"/>
        </w:rPr>
        <w:t>李</w:t>
      </w:r>
      <w:r>
        <w:rPr>
          <w:rFonts w:ascii="仿宋" w:hAnsi="仿宋" w:eastAsia="仿宋"/>
          <w:szCs w:val="21"/>
        </w:rPr>
        <w:t>明的审计失败，可以反映选择</w:t>
      </w:r>
      <w:r>
        <w:rPr>
          <w:rFonts w:ascii="仿宋" w:hAnsi="仿宋" w:eastAsia="仿宋"/>
          <w:bCs/>
          <w:color w:val="000000"/>
          <w:szCs w:val="21"/>
          <w:shd w:val="clear" w:color="auto" w:fill="FFFFFF"/>
        </w:rPr>
        <w:t>审计方法的</w:t>
      </w:r>
      <w:r>
        <w:rPr>
          <w:rFonts w:ascii="仿宋" w:hAnsi="仿宋" w:eastAsia="仿宋"/>
          <w:szCs w:val="21"/>
        </w:rPr>
        <w:t>重要性，如果不考虑审计项目的性质、不考虑被审计单位的实际，盲目地选用，轻者会浪费审计时间，降低审计效率，重者会导致审计失败。</w:t>
      </w: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实训二</w:t>
      </w:r>
    </w:p>
    <w:p>
      <w:pPr>
        <w:numPr>
          <w:ilvl w:val="0"/>
          <w:numId w:val="1"/>
        </w:numPr>
        <w:shd w:val="clear" w:color="auto" w:fill="FFFFFF"/>
        <w:ind w:firstLine="413" w:firstLineChars="197"/>
        <w:rPr>
          <w:rFonts w:hint="eastAsia" w:ascii="仿宋" w:hAnsi="仿宋" w:eastAsia="仿宋"/>
          <w:szCs w:val="21"/>
          <w:lang w:val="en-US" w:eastAsia="zh-CN"/>
        </w:rPr>
      </w:pPr>
      <w:r>
        <w:rPr>
          <w:rFonts w:hint="eastAsia" w:ascii="仿宋" w:hAnsi="仿宋" w:eastAsia="仿宋"/>
          <w:szCs w:val="21"/>
          <w:lang w:val="en-US" w:eastAsia="zh-CN"/>
        </w:rPr>
        <w:t>审计目的是证实被审计单位资产负债表中所列银行存款余额的真实性和完整性。核对法，调节法。</w:t>
      </w:r>
    </w:p>
    <w:p>
      <w:pPr>
        <w:numPr>
          <w:ilvl w:val="0"/>
          <w:numId w:val="1"/>
        </w:numPr>
        <w:shd w:val="clear" w:color="auto" w:fill="FFFFFF"/>
        <w:ind w:firstLine="413" w:firstLineChars="197"/>
        <w:rPr>
          <w:rFonts w:hint="eastAsia" w:ascii="仿宋" w:hAnsi="仿宋" w:eastAsia="仿宋"/>
          <w:szCs w:val="21"/>
          <w:lang w:val="en-US" w:eastAsia="zh-CN"/>
        </w:rPr>
      </w:pPr>
      <w:r>
        <w:rPr>
          <w:rFonts w:hint="eastAsia" w:ascii="仿宋" w:hAnsi="仿宋" w:eastAsia="仿宋"/>
          <w:szCs w:val="21"/>
          <w:lang w:val="en-US" w:eastAsia="zh-CN"/>
        </w:rPr>
        <w:t>银行存款余额调节表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项目</w:t>
            </w:r>
          </w:p>
        </w:tc>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金额</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项目</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企业银行存款日记账余额</w:t>
            </w:r>
          </w:p>
        </w:tc>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130350</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银行对账单余额</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127000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加：银行已收，企业未收</w:t>
            </w:r>
          </w:p>
        </w:tc>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12500</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加：企业已收，银行未收</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减：银行已付，企业未付</w:t>
            </w:r>
          </w:p>
        </w:tc>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250</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减：企业已付，银行未付</w:t>
            </w:r>
          </w:p>
        </w:tc>
        <w:tc>
          <w:tcPr>
            <w:tcW w:w="2131"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调节后的存款余额</w:t>
            </w:r>
          </w:p>
        </w:tc>
        <w:tc>
          <w:tcPr>
            <w:tcW w:w="2130" w:type="dxa"/>
          </w:tcPr>
          <w:p>
            <w:pPr>
              <w:widowControl w:val="0"/>
              <w:numPr>
                <w:ilvl w:val="0"/>
                <w:numId w:val="0"/>
              </w:numPr>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142600</w:t>
            </w:r>
          </w:p>
        </w:tc>
        <w:tc>
          <w:tcPr>
            <w:tcW w:w="2131" w:type="dxa"/>
            <w:vAlign w:val="top"/>
          </w:tcPr>
          <w:p>
            <w:pPr>
              <w:widowControl w:val="0"/>
              <w:numPr>
                <w:ilvl w:val="0"/>
                <w:numId w:val="0"/>
              </w:numPr>
              <w:ind w:left="0" w:leftChars="0" w:firstLine="0" w:firstLineChars="0"/>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调节后的存款余额</w:t>
            </w:r>
          </w:p>
        </w:tc>
        <w:tc>
          <w:tcPr>
            <w:tcW w:w="2131" w:type="dxa"/>
            <w:vAlign w:val="top"/>
          </w:tcPr>
          <w:p>
            <w:pPr>
              <w:widowControl w:val="0"/>
              <w:numPr>
                <w:ilvl w:val="0"/>
                <w:numId w:val="0"/>
              </w:numPr>
              <w:ind w:left="0" w:leftChars="0" w:firstLine="0" w:firstLineChars="0"/>
              <w:jc w:val="both"/>
              <w:rPr>
                <w:rFonts w:hint="default" w:ascii="仿宋" w:hAnsi="仿宋" w:eastAsia="仿宋"/>
                <w:szCs w:val="21"/>
                <w:vertAlign w:val="baseline"/>
                <w:lang w:val="en-US" w:eastAsia="zh-CN"/>
              </w:rPr>
            </w:pPr>
            <w:r>
              <w:rPr>
                <w:rFonts w:hint="eastAsia" w:ascii="仿宋" w:hAnsi="仿宋" w:eastAsia="仿宋"/>
                <w:szCs w:val="21"/>
                <w:vertAlign w:val="baseline"/>
                <w:lang w:val="en-US" w:eastAsia="zh-CN"/>
              </w:rPr>
              <w:t>142600</w:t>
            </w:r>
          </w:p>
        </w:tc>
      </w:tr>
    </w:tbl>
    <w:p>
      <w:pPr>
        <w:widowControl w:val="0"/>
        <w:numPr>
          <w:ilvl w:val="0"/>
          <w:numId w:val="0"/>
        </w:numPr>
        <w:shd w:val="clear" w:color="auto" w:fill="FFFFFF"/>
        <w:jc w:val="both"/>
        <w:rPr>
          <w:rFonts w:hint="default" w:ascii="仿宋" w:hAnsi="仿宋" w:eastAsia="仿宋"/>
          <w:szCs w:val="21"/>
          <w:lang w:val="en-US" w:eastAsia="zh-CN"/>
        </w:rPr>
      </w:pPr>
    </w:p>
    <w:p>
      <w:pPr>
        <w:shd w:val="clear" w:color="auto" w:fill="FFFFFF"/>
        <w:ind w:firstLine="433" w:firstLineChars="197"/>
        <w:rPr>
          <w:rFonts w:hint="eastAsia" w:ascii="方正黑体简体" w:hAnsi="方正黑体简体" w:eastAsia="方正黑体简体" w:cs="方正黑体简体"/>
          <w:color w:val="00AEEF"/>
          <w:kern w:val="0"/>
          <w:sz w:val="22"/>
          <w:szCs w:val="22"/>
          <w:lang w:val="en-US" w:eastAsia="zh-CN" w:bidi="ar"/>
        </w:rPr>
      </w:pPr>
      <w:r>
        <w:rPr>
          <w:rFonts w:hint="eastAsia" w:ascii="方正黑体简体" w:hAnsi="方正黑体简体" w:eastAsia="方正黑体简体" w:cs="方正黑体简体"/>
          <w:color w:val="00AEEF"/>
          <w:kern w:val="0"/>
          <w:sz w:val="22"/>
          <w:szCs w:val="22"/>
          <w:lang w:val="en-US" w:eastAsia="zh-CN" w:bidi="ar"/>
        </w:rPr>
        <w:t xml:space="preserve">实训三 </w:t>
      </w:r>
    </w:p>
    <w:p>
      <w:pPr>
        <w:bidi w:val="0"/>
      </w:pPr>
      <w:r>
        <w:rPr>
          <w:rFonts w:hint="eastAsia"/>
        </w:rPr>
        <w:t>男式：</w:t>
      </w:r>
    </w:p>
    <w:p>
      <w:pPr>
        <w:bidi w:val="0"/>
      </w:pPr>
      <w:r>
        <w:rPr>
          <w:rFonts w:hint="eastAsia"/>
        </w:rPr>
        <w:t>一等品：608+1172-1240=540（20</w:t>
      </w:r>
      <w:r>
        <w:rPr>
          <w:rFonts w:hint="eastAsia"/>
          <w:lang w:val="en-US" w:eastAsia="zh-CN"/>
        </w:rPr>
        <w:t>20</w:t>
      </w:r>
      <w:r>
        <w:rPr>
          <w:rFonts w:hint="eastAsia"/>
        </w:rPr>
        <w:t>年12月31日实际应存数）  账面结存数：640，故盘亏100（件），账实不符；</w:t>
      </w:r>
    </w:p>
    <w:p>
      <w:pPr>
        <w:bidi w:val="0"/>
        <w:rPr>
          <w:rFonts w:hint="eastAsia"/>
        </w:rPr>
      </w:pPr>
      <w:r>
        <w:rPr>
          <w:rFonts w:hint="eastAsia"/>
        </w:rPr>
        <w:t>二等品：216+204-160=260 （20</w:t>
      </w:r>
      <w:r>
        <w:rPr>
          <w:rFonts w:hint="eastAsia"/>
          <w:lang w:val="en-US" w:eastAsia="zh-CN"/>
        </w:rPr>
        <w:t>20</w:t>
      </w:r>
      <w:r>
        <w:rPr>
          <w:rFonts w:hint="eastAsia"/>
        </w:rPr>
        <w:t>年12月31日实际应存数） 账面结存数：160，故盘盈100（件），账实不符；</w:t>
      </w:r>
    </w:p>
    <w:p>
      <w:pPr>
        <w:bidi w:val="0"/>
        <w:rPr>
          <w:rFonts w:hint="eastAsia"/>
        </w:rPr>
      </w:pPr>
      <w:r>
        <w:rPr>
          <w:rFonts w:hint="eastAsia"/>
          <w:lang w:val="en-US" w:eastAsia="zh-CN"/>
        </w:rPr>
        <w:t>三</w:t>
      </w:r>
      <w:r>
        <w:rPr>
          <w:rFonts w:hint="eastAsia"/>
        </w:rPr>
        <w:t>等品：</w:t>
      </w:r>
      <w:r>
        <w:rPr>
          <w:rFonts w:hint="eastAsia"/>
          <w:lang w:val="en-US" w:eastAsia="zh-CN"/>
        </w:rPr>
        <w:t>46</w:t>
      </w:r>
      <w:r>
        <w:rPr>
          <w:rFonts w:hint="eastAsia"/>
        </w:rPr>
        <w:t>+</w:t>
      </w:r>
      <w:r>
        <w:rPr>
          <w:rFonts w:hint="eastAsia"/>
          <w:lang w:val="en-US" w:eastAsia="zh-CN"/>
        </w:rPr>
        <w:t>54</w:t>
      </w:r>
      <w:r>
        <w:rPr>
          <w:rFonts w:hint="eastAsia"/>
        </w:rPr>
        <w:t>-</w:t>
      </w:r>
      <w:r>
        <w:rPr>
          <w:rFonts w:hint="eastAsia"/>
          <w:lang w:val="en-US" w:eastAsia="zh-CN"/>
        </w:rPr>
        <w:t>50</w:t>
      </w:r>
      <w:r>
        <w:rPr>
          <w:rFonts w:hint="eastAsia"/>
        </w:rPr>
        <w:t>=</w:t>
      </w:r>
      <w:r>
        <w:rPr>
          <w:rFonts w:hint="eastAsia"/>
          <w:lang w:val="en-US" w:eastAsia="zh-CN"/>
        </w:rPr>
        <w:t>5</w:t>
      </w:r>
      <w:r>
        <w:rPr>
          <w:rFonts w:hint="eastAsia"/>
        </w:rPr>
        <w:t>0 （20</w:t>
      </w:r>
      <w:r>
        <w:rPr>
          <w:rFonts w:hint="eastAsia"/>
          <w:lang w:val="en-US" w:eastAsia="zh-CN"/>
        </w:rPr>
        <w:t>20</w:t>
      </w:r>
      <w:r>
        <w:rPr>
          <w:rFonts w:hint="eastAsia"/>
        </w:rPr>
        <w:t>年12月31日实际应存数） 账面结存数</w:t>
      </w:r>
      <w:r>
        <w:rPr>
          <w:rFonts w:hint="eastAsia"/>
          <w:lang w:val="en-US" w:eastAsia="zh-CN"/>
        </w:rPr>
        <w:t>5</w:t>
      </w:r>
      <w:r>
        <w:rPr>
          <w:rFonts w:hint="eastAsia"/>
        </w:rPr>
        <w:t>0，账实</w:t>
      </w:r>
      <w:r>
        <w:rPr>
          <w:rFonts w:hint="eastAsia"/>
          <w:lang w:val="en-US" w:eastAsia="zh-CN"/>
        </w:rPr>
        <w:t>相</w:t>
      </w:r>
      <w:r>
        <w:rPr>
          <w:rFonts w:hint="eastAsia"/>
        </w:rPr>
        <w:t>符；</w:t>
      </w:r>
    </w:p>
    <w:p>
      <w:pPr>
        <w:bidi w:val="0"/>
        <w:rPr>
          <w:rFonts w:hint="eastAsia"/>
          <w:lang w:val="en-US" w:eastAsia="zh-CN"/>
        </w:rPr>
      </w:pPr>
      <w:r>
        <w:rPr>
          <w:rFonts w:hint="eastAsia"/>
          <w:lang w:val="en-US" w:eastAsia="zh-CN"/>
        </w:rPr>
        <w:t>女式：</w:t>
      </w:r>
    </w:p>
    <w:p>
      <w:pPr>
        <w:bidi w:val="0"/>
      </w:pPr>
      <w:r>
        <w:rPr>
          <w:rFonts w:hint="eastAsia"/>
        </w:rPr>
        <w:t>一等品：</w:t>
      </w:r>
      <w:r>
        <w:rPr>
          <w:rFonts w:hint="eastAsia"/>
          <w:lang w:val="en-US" w:eastAsia="zh-CN"/>
        </w:rPr>
        <w:t>857</w:t>
      </w:r>
      <w:r>
        <w:rPr>
          <w:rFonts w:hint="eastAsia"/>
        </w:rPr>
        <w:t>+</w:t>
      </w:r>
      <w:r>
        <w:rPr>
          <w:rFonts w:hint="eastAsia"/>
          <w:lang w:val="en-US" w:eastAsia="zh-CN"/>
        </w:rPr>
        <w:t>1393</w:t>
      </w:r>
      <w:r>
        <w:rPr>
          <w:rFonts w:hint="eastAsia"/>
        </w:rPr>
        <w:t>-</w:t>
      </w:r>
      <w:r>
        <w:rPr>
          <w:rFonts w:hint="eastAsia"/>
          <w:lang w:val="en-US" w:eastAsia="zh-CN"/>
        </w:rPr>
        <w:t>1430</w:t>
      </w:r>
      <w:r>
        <w:rPr>
          <w:rFonts w:hint="eastAsia"/>
        </w:rPr>
        <w:t>=</w:t>
      </w:r>
      <w:r>
        <w:rPr>
          <w:rFonts w:hint="eastAsia"/>
          <w:lang w:val="en-US" w:eastAsia="zh-CN"/>
        </w:rPr>
        <w:t>820</w:t>
      </w:r>
      <w:r>
        <w:rPr>
          <w:rFonts w:hint="eastAsia"/>
        </w:rPr>
        <w:t>（20</w:t>
      </w:r>
      <w:r>
        <w:rPr>
          <w:rFonts w:hint="eastAsia"/>
          <w:lang w:val="en-US" w:eastAsia="zh-CN"/>
        </w:rPr>
        <w:t>20</w:t>
      </w:r>
      <w:r>
        <w:rPr>
          <w:rFonts w:hint="eastAsia"/>
        </w:rPr>
        <w:t>年12月31日实际应存数）  账面结存数：</w:t>
      </w:r>
      <w:r>
        <w:rPr>
          <w:rFonts w:hint="eastAsia"/>
          <w:lang w:val="en-US" w:eastAsia="zh-CN"/>
        </w:rPr>
        <w:t>880</w:t>
      </w:r>
      <w:r>
        <w:rPr>
          <w:rFonts w:hint="eastAsia"/>
        </w:rPr>
        <w:t>，故盘亏</w:t>
      </w:r>
      <w:r>
        <w:rPr>
          <w:rFonts w:hint="eastAsia"/>
          <w:lang w:val="en-US" w:eastAsia="zh-CN"/>
        </w:rPr>
        <w:t>6</w:t>
      </w:r>
      <w:r>
        <w:rPr>
          <w:rFonts w:hint="eastAsia"/>
        </w:rPr>
        <w:t>0（件），账实不符；</w:t>
      </w:r>
    </w:p>
    <w:p>
      <w:pPr>
        <w:bidi w:val="0"/>
        <w:rPr>
          <w:rFonts w:hint="eastAsia"/>
        </w:rPr>
      </w:pPr>
      <w:r>
        <w:rPr>
          <w:rFonts w:hint="eastAsia"/>
        </w:rPr>
        <w:t>二等品：2</w:t>
      </w:r>
      <w:r>
        <w:rPr>
          <w:rFonts w:hint="eastAsia"/>
          <w:lang w:val="en-US" w:eastAsia="zh-CN"/>
        </w:rPr>
        <w:t>55</w:t>
      </w:r>
      <w:r>
        <w:rPr>
          <w:rFonts w:hint="eastAsia"/>
        </w:rPr>
        <w:t>+</w:t>
      </w:r>
      <w:r>
        <w:rPr>
          <w:rFonts w:hint="eastAsia"/>
          <w:lang w:val="en-US" w:eastAsia="zh-CN"/>
        </w:rPr>
        <w:t>195</w:t>
      </w:r>
      <w:r>
        <w:rPr>
          <w:rFonts w:hint="eastAsia"/>
        </w:rPr>
        <w:t>-1</w:t>
      </w:r>
      <w:r>
        <w:rPr>
          <w:rFonts w:hint="eastAsia"/>
          <w:lang w:val="en-US" w:eastAsia="zh-CN"/>
        </w:rPr>
        <w:t>7</w:t>
      </w:r>
      <w:r>
        <w:rPr>
          <w:rFonts w:hint="eastAsia"/>
        </w:rPr>
        <w:t>0=2</w:t>
      </w:r>
      <w:r>
        <w:rPr>
          <w:rFonts w:hint="eastAsia"/>
          <w:lang w:val="en-US" w:eastAsia="zh-CN"/>
        </w:rPr>
        <w:t>8</w:t>
      </w:r>
      <w:r>
        <w:rPr>
          <w:rFonts w:hint="eastAsia"/>
        </w:rPr>
        <w:t>0 （20</w:t>
      </w:r>
      <w:r>
        <w:rPr>
          <w:rFonts w:hint="eastAsia"/>
          <w:lang w:val="en-US" w:eastAsia="zh-CN"/>
        </w:rPr>
        <w:t>20</w:t>
      </w:r>
      <w:r>
        <w:rPr>
          <w:rFonts w:hint="eastAsia"/>
        </w:rPr>
        <w:t>年12月31日实际应存数） 账面结存数：</w:t>
      </w:r>
      <w:r>
        <w:rPr>
          <w:rFonts w:hint="eastAsia"/>
          <w:lang w:val="en-US" w:eastAsia="zh-CN"/>
        </w:rPr>
        <w:t>220</w:t>
      </w:r>
      <w:r>
        <w:rPr>
          <w:rFonts w:hint="eastAsia"/>
        </w:rPr>
        <w:t>，故盘盈</w:t>
      </w:r>
      <w:r>
        <w:rPr>
          <w:rFonts w:hint="eastAsia"/>
          <w:lang w:val="en-US" w:eastAsia="zh-CN"/>
        </w:rPr>
        <w:t>6</w:t>
      </w:r>
      <w:r>
        <w:rPr>
          <w:rFonts w:hint="eastAsia"/>
        </w:rPr>
        <w:t>0（件），账实不符；</w:t>
      </w:r>
    </w:p>
    <w:p>
      <w:pPr>
        <w:bidi w:val="0"/>
        <w:rPr>
          <w:rFonts w:hint="eastAsia"/>
        </w:rPr>
      </w:pPr>
      <w:r>
        <w:rPr>
          <w:rFonts w:hint="eastAsia"/>
          <w:lang w:val="en-US" w:eastAsia="zh-CN"/>
        </w:rPr>
        <w:t>三</w:t>
      </w:r>
      <w:r>
        <w:rPr>
          <w:rFonts w:hint="eastAsia"/>
        </w:rPr>
        <w:t>等品：</w:t>
      </w:r>
      <w:r>
        <w:rPr>
          <w:rFonts w:hint="eastAsia"/>
          <w:lang w:val="en-US" w:eastAsia="zh-CN"/>
        </w:rPr>
        <w:t>58</w:t>
      </w:r>
      <w:r>
        <w:rPr>
          <w:rFonts w:hint="eastAsia"/>
        </w:rPr>
        <w:t>+</w:t>
      </w:r>
      <w:r>
        <w:rPr>
          <w:rFonts w:hint="eastAsia"/>
          <w:lang w:val="en-US" w:eastAsia="zh-CN"/>
        </w:rPr>
        <w:t>142</w:t>
      </w:r>
      <w:r>
        <w:rPr>
          <w:rFonts w:hint="eastAsia"/>
        </w:rPr>
        <w:t>-</w:t>
      </w:r>
      <w:r>
        <w:rPr>
          <w:rFonts w:hint="eastAsia"/>
          <w:lang w:val="en-US" w:eastAsia="zh-CN"/>
        </w:rPr>
        <w:t>100</w:t>
      </w:r>
      <w:r>
        <w:rPr>
          <w:rFonts w:hint="eastAsia"/>
        </w:rPr>
        <w:t>=</w:t>
      </w:r>
      <w:r>
        <w:rPr>
          <w:rFonts w:hint="eastAsia"/>
          <w:lang w:val="en-US" w:eastAsia="zh-CN"/>
        </w:rPr>
        <w:t>100</w:t>
      </w:r>
      <w:r>
        <w:rPr>
          <w:rFonts w:hint="eastAsia"/>
        </w:rPr>
        <w:t xml:space="preserve"> （20</w:t>
      </w:r>
      <w:r>
        <w:rPr>
          <w:rFonts w:hint="eastAsia"/>
          <w:lang w:val="en-US" w:eastAsia="zh-CN"/>
        </w:rPr>
        <w:t>20</w:t>
      </w:r>
      <w:r>
        <w:rPr>
          <w:rFonts w:hint="eastAsia"/>
        </w:rPr>
        <w:t>年12月31日实际应存数） 账面结存数</w:t>
      </w:r>
      <w:r>
        <w:rPr>
          <w:rFonts w:hint="eastAsia"/>
          <w:lang w:val="en-US" w:eastAsia="zh-CN"/>
        </w:rPr>
        <w:t>100</w:t>
      </w:r>
      <w:r>
        <w:rPr>
          <w:rFonts w:hint="eastAsia"/>
        </w:rPr>
        <w:t>，账实</w:t>
      </w:r>
      <w:r>
        <w:rPr>
          <w:rFonts w:hint="eastAsia"/>
          <w:lang w:val="en-US" w:eastAsia="zh-CN"/>
        </w:rPr>
        <w:t>相</w:t>
      </w:r>
      <w:r>
        <w:rPr>
          <w:rFonts w:hint="eastAsia"/>
        </w:rPr>
        <w:t>符；</w:t>
      </w:r>
    </w:p>
    <w:p>
      <w:pPr>
        <w:bidi w:val="0"/>
        <w:rPr>
          <w:rFonts w:hint="eastAsia"/>
          <w:lang w:val="en-US" w:eastAsia="zh-CN"/>
        </w:rPr>
      </w:pPr>
      <w:r>
        <w:rPr>
          <w:rFonts w:hint="eastAsia"/>
          <w:lang w:val="en-US" w:eastAsia="zh-CN"/>
        </w:rPr>
        <w:t>童式：</w:t>
      </w:r>
    </w:p>
    <w:p>
      <w:pPr>
        <w:bidi w:val="0"/>
      </w:pPr>
      <w:r>
        <w:rPr>
          <w:rFonts w:hint="eastAsia"/>
        </w:rPr>
        <w:t>一等品：</w:t>
      </w:r>
      <w:r>
        <w:rPr>
          <w:rFonts w:hint="eastAsia"/>
          <w:lang w:val="en-US" w:eastAsia="zh-CN"/>
        </w:rPr>
        <w:t>414</w:t>
      </w:r>
      <w:r>
        <w:rPr>
          <w:rFonts w:hint="eastAsia"/>
        </w:rPr>
        <w:t>+</w:t>
      </w:r>
      <w:r>
        <w:rPr>
          <w:rFonts w:hint="eastAsia"/>
          <w:lang w:val="en-US" w:eastAsia="zh-CN"/>
        </w:rPr>
        <w:t>666</w:t>
      </w:r>
      <w:r>
        <w:rPr>
          <w:rFonts w:hint="eastAsia"/>
        </w:rPr>
        <w:t>-</w:t>
      </w:r>
      <w:r>
        <w:rPr>
          <w:rFonts w:hint="eastAsia"/>
          <w:lang w:val="en-US" w:eastAsia="zh-CN"/>
        </w:rPr>
        <w:t>6</w:t>
      </w:r>
      <w:r>
        <w:rPr>
          <w:rFonts w:hint="eastAsia"/>
        </w:rPr>
        <w:t>40=</w:t>
      </w:r>
      <w:r>
        <w:rPr>
          <w:rFonts w:hint="eastAsia"/>
          <w:lang w:val="en-US" w:eastAsia="zh-CN"/>
        </w:rPr>
        <w:t>4</w:t>
      </w:r>
      <w:r>
        <w:rPr>
          <w:rFonts w:hint="eastAsia"/>
        </w:rPr>
        <w:t>40（20</w:t>
      </w:r>
      <w:r>
        <w:rPr>
          <w:rFonts w:hint="eastAsia"/>
          <w:lang w:val="en-US" w:eastAsia="zh-CN"/>
        </w:rPr>
        <w:t>20</w:t>
      </w:r>
      <w:r>
        <w:rPr>
          <w:rFonts w:hint="eastAsia"/>
        </w:rPr>
        <w:t>年12月31日实际应存数）  账面结存数：</w:t>
      </w:r>
      <w:r>
        <w:rPr>
          <w:rFonts w:hint="eastAsia"/>
          <w:lang w:val="en-US" w:eastAsia="zh-CN"/>
        </w:rPr>
        <w:t>450</w:t>
      </w:r>
      <w:r>
        <w:rPr>
          <w:rFonts w:hint="eastAsia"/>
        </w:rPr>
        <w:t>，故盘亏10（件），账实不符；</w:t>
      </w:r>
    </w:p>
    <w:p>
      <w:pPr>
        <w:bidi w:val="0"/>
        <w:rPr>
          <w:rFonts w:hint="eastAsia"/>
        </w:rPr>
      </w:pPr>
      <w:r>
        <w:rPr>
          <w:rFonts w:hint="eastAsia"/>
        </w:rPr>
        <w:t>二等品：</w:t>
      </w:r>
      <w:r>
        <w:rPr>
          <w:rFonts w:hint="eastAsia"/>
          <w:lang w:val="en-US" w:eastAsia="zh-CN"/>
        </w:rPr>
        <w:t>5</w:t>
      </w:r>
      <w:r>
        <w:rPr>
          <w:rFonts w:hint="eastAsia"/>
        </w:rPr>
        <w:t>6+</w:t>
      </w:r>
      <w:r>
        <w:rPr>
          <w:rFonts w:hint="eastAsia"/>
          <w:lang w:val="en-US" w:eastAsia="zh-CN"/>
        </w:rPr>
        <w:t>224</w:t>
      </w:r>
      <w:r>
        <w:rPr>
          <w:rFonts w:hint="eastAsia"/>
        </w:rPr>
        <w:t>-160=</w:t>
      </w:r>
      <w:r>
        <w:rPr>
          <w:rFonts w:hint="eastAsia"/>
          <w:lang w:val="en-US" w:eastAsia="zh-CN"/>
        </w:rPr>
        <w:t>120</w:t>
      </w:r>
      <w:r>
        <w:rPr>
          <w:rFonts w:hint="eastAsia"/>
        </w:rPr>
        <w:t xml:space="preserve"> （20</w:t>
      </w:r>
      <w:r>
        <w:rPr>
          <w:rFonts w:hint="eastAsia"/>
          <w:lang w:val="en-US" w:eastAsia="zh-CN"/>
        </w:rPr>
        <w:t>20</w:t>
      </w:r>
      <w:r>
        <w:rPr>
          <w:rFonts w:hint="eastAsia"/>
        </w:rPr>
        <w:t>年12月31日实际应存数） 账面结存数：</w:t>
      </w:r>
      <w:r>
        <w:rPr>
          <w:rFonts w:hint="eastAsia"/>
          <w:lang w:val="en-US" w:eastAsia="zh-CN"/>
        </w:rPr>
        <w:t>12</w:t>
      </w:r>
      <w:r>
        <w:rPr>
          <w:rFonts w:hint="eastAsia"/>
        </w:rPr>
        <w:t>0，账实</w:t>
      </w:r>
      <w:r>
        <w:rPr>
          <w:rFonts w:hint="eastAsia"/>
          <w:lang w:val="en-US" w:eastAsia="zh-CN"/>
        </w:rPr>
        <w:t>相符</w:t>
      </w:r>
      <w:r>
        <w:rPr>
          <w:rFonts w:hint="eastAsia"/>
        </w:rPr>
        <w:t>；</w:t>
      </w:r>
    </w:p>
    <w:p>
      <w:pPr>
        <w:bidi w:val="0"/>
        <w:rPr>
          <w:rFonts w:hint="eastAsia"/>
        </w:rPr>
      </w:pPr>
      <w:r>
        <w:rPr>
          <w:rFonts w:hint="eastAsia"/>
          <w:lang w:val="en-US" w:eastAsia="zh-CN"/>
        </w:rPr>
        <w:t>三</w:t>
      </w:r>
      <w:r>
        <w:rPr>
          <w:rFonts w:hint="eastAsia"/>
        </w:rPr>
        <w:t>等品：</w:t>
      </w:r>
      <w:r>
        <w:rPr>
          <w:rFonts w:hint="eastAsia"/>
          <w:lang w:val="en-US" w:eastAsia="zh-CN"/>
        </w:rPr>
        <w:t>20</w:t>
      </w:r>
      <w:r>
        <w:rPr>
          <w:rFonts w:hint="eastAsia"/>
        </w:rPr>
        <w:t>+</w:t>
      </w:r>
      <w:r>
        <w:rPr>
          <w:rFonts w:hint="eastAsia"/>
          <w:lang w:val="en-US" w:eastAsia="zh-CN"/>
        </w:rPr>
        <w:t>60</w:t>
      </w:r>
      <w:r>
        <w:rPr>
          <w:rFonts w:hint="eastAsia"/>
        </w:rPr>
        <w:t>-</w:t>
      </w:r>
      <w:r>
        <w:rPr>
          <w:rFonts w:hint="eastAsia"/>
          <w:lang w:val="en-US" w:eastAsia="zh-CN"/>
        </w:rPr>
        <w:t>50</w:t>
      </w:r>
      <w:r>
        <w:rPr>
          <w:rFonts w:hint="eastAsia"/>
        </w:rPr>
        <w:t>=</w:t>
      </w:r>
      <w:r>
        <w:rPr>
          <w:rFonts w:hint="eastAsia"/>
          <w:lang w:val="en-US" w:eastAsia="zh-CN"/>
        </w:rPr>
        <w:t>3</w:t>
      </w:r>
      <w:r>
        <w:rPr>
          <w:rFonts w:hint="eastAsia"/>
        </w:rPr>
        <w:t>0 （20</w:t>
      </w:r>
      <w:r>
        <w:rPr>
          <w:rFonts w:hint="eastAsia"/>
          <w:lang w:val="en-US" w:eastAsia="zh-CN"/>
        </w:rPr>
        <w:t>20</w:t>
      </w:r>
      <w:r>
        <w:rPr>
          <w:rFonts w:hint="eastAsia"/>
        </w:rPr>
        <w:t>年12月31日实际应存数） 账面结存数</w:t>
      </w:r>
      <w:r>
        <w:rPr>
          <w:rFonts w:hint="eastAsia"/>
          <w:lang w:val="en-US" w:eastAsia="zh-CN"/>
        </w:rPr>
        <w:t>3</w:t>
      </w:r>
      <w:r>
        <w:rPr>
          <w:rFonts w:hint="eastAsia"/>
        </w:rPr>
        <w:t>0，账实</w:t>
      </w:r>
      <w:r>
        <w:rPr>
          <w:rFonts w:hint="eastAsia"/>
          <w:lang w:val="en-US" w:eastAsia="zh-CN"/>
        </w:rPr>
        <w:t>相</w:t>
      </w:r>
      <w:r>
        <w:rPr>
          <w:rFonts w:hint="eastAsia"/>
        </w:rPr>
        <w:t>符；</w:t>
      </w:r>
    </w:p>
    <w:p>
      <w:pPr>
        <w:bidi w:val="0"/>
        <w:rPr>
          <w:rFonts w:hint="default"/>
          <w:lang w:val="en-US" w:eastAsia="zh-CN"/>
        </w:rPr>
      </w:pPr>
    </w:p>
    <w:p>
      <w:pPr>
        <w:bidi w:val="0"/>
        <w:rPr>
          <w:rFonts w:hint="eastAsia"/>
        </w:rPr>
      </w:pPr>
    </w:p>
    <w:p>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2010601030101010101"/>
    <w:charset w:val="86"/>
    <w:family w:val="auto"/>
    <w:pitch w:val="default"/>
    <w:sig w:usb0="00000001" w:usb1="080E0000" w:usb2="00000000" w:usb3="00000000" w:csb0="00040000" w:csb1="00000000"/>
  </w:font>
  <w:font w:name="方正书宋简体">
    <w:panose1 w:val="03000509000000000000"/>
    <w:charset w:val="86"/>
    <w:family w:val="auto"/>
    <w:pitch w:val="default"/>
    <w:sig w:usb0="00000001" w:usb1="080E0000" w:usb2="00000000" w:usb3="00000000" w:csb0="00040000" w:csb1="00000000"/>
  </w:font>
  <w:font w:name="方正兰亭中黑_GBK">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1811A0"/>
    <w:multiLevelType w:val="singleLevel"/>
    <w:tmpl w:val="BD1811A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MDNmZDNiNzE4Yzk1ZGNiZGQ3OWYyMjBmYzJlN2YifQ=="/>
  </w:docVars>
  <w:rsids>
    <w:rsidRoot w:val="74E90620"/>
    <w:rsid w:val="11A96DFE"/>
    <w:rsid w:val="196B7938"/>
    <w:rsid w:val="4B2C372F"/>
    <w:rsid w:val="74E90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3766</Words>
  <Characters>4214</Characters>
  <Lines>0</Lines>
  <Paragraphs>0</Paragraphs>
  <TotalTime>17</TotalTime>
  <ScaleCrop>false</ScaleCrop>
  <LinksUpToDate>false</LinksUpToDate>
  <CharactersWithSpaces>4767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2022-09-21T09:42:00Z</dcterms:created>
  <dc:creator>Bamboo</dc:creator>
  <cp:lastModifiedBy>ce</cp:lastModifiedBy>
  <dcterms:modified xsi:type="dcterms:W3CDTF">2022-09-28T03:43:19Z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03D03AD3B7E448EE9F57C54D35D4CD89</vt:lpwstr>
  </property>
</Properties>
</file>